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2</w:t>
      </w:r>
      <w:r/>
    </w:p>
    <w:p>
      <w:pPr>
        <w:ind w:left="595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</w:t>
      </w:r>
      <w:r/>
    </w:p>
    <w:p>
      <w:pPr>
        <w:ind w:left="595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</w:t>
      </w:r>
      <w:r>
        <w:rPr>
          <w:rFonts w:ascii="Times New Roman" w:hAnsi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финансов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>
        <w:rPr>
          <w:rFonts w:ascii="Times New Roman" w:hAnsi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ind w:left="595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>
        <w:rPr>
          <w:rFonts w:ascii="Times New Roman" w:hAnsi="Times New Roman" w:cs="Times New Roman"/>
          <w:sz w:val="28"/>
          <w:szCs w:val="28"/>
        </w:rPr>
        <w:t xml:space="preserve">_____</w:t>
      </w:r>
      <w:r>
        <w:rPr>
          <w:rFonts w:ascii="Times New Roman" w:hAnsi="Times New Roman" w:cs="Times New Roman"/>
          <w:sz w:val="28"/>
          <w:szCs w:val="28"/>
        </w:rPr>
        <w:t xml:space="preserve">____ № _</w:t>
      </w:r>
      <w:r>
        <w:rPr>
          <w:rFonts w:ascii="Times New Roman" w:hAnsi="Times New Roman" w:cs="Times New Roman"/>
          <w:sz w:val="28"/>
          <w:szCs w:val="28"/>
        </w:rPr>
        <w:t xml:space="preserve">__</w:t>
      </w:r>
      <w:r>
        <w:rPr>
          <w:rFonts w:ascii="Times New Roman" w:hAnsi="Times New Roman" w:cs="Times New Roman"/>
          <w:sz w:val="28"/>
          <w:szCs w:val="28"/>
        </w:rPr>
        <w:t xml:space="preserve">___</w:t>
      </w:r>
      <w:r/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определения нормативных затрат на обеспечение функций министерства финансов </w:t>
      </w: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, го</w:t>
      </w:r>
      <w:r>
        <w:rPr>
          <w:rFonts w:ascii="Times New Roman" w:hAnsi="Times New Roman" w:cs="Times New Roman"/>
          <w:b/>
          <w:sz w:val="28"/>
          <w:szCs w:val="28"/>
        </w:rPr>
        <w:t xml:space="preserve">сударственного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казенного учреждения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«Государственное агентство </w:t>
      </w:r>
      <w:r>
        <w:rPr>
          <w:rFonts w:ascii="Times New Roman" w:hAnsi="Times New Roman" w:cs="Times New Roman"/>
          <w:b/>
          <w:sz w:val="28"/>
          <w:szCs w:val="28"/>
        </w:rPr>
        <w:t xml:space="preserve">по централизации закупок»</w:t>
      </w: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 xml:space="preserve">государственного казенного учреждения Саратовской области «Центр бухгалтерского учета, отчетности и финансов»</w:t>
      </w:r>
      <w:r/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38"/>
        <w:numPr>
          <w:ilvl w:val="0"/>
          <w:numId w:val="2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Настоящи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порядок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устанавливае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т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процедуру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определения нормативных затрат на обеспечение функций министерства финансов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Саратовской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области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(далее - министерство)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и </w:t>
      </w:r>
      <w:r>
        <w:rPr>
          <w:rFonts w:ascii="Times New Roman" w:hAnsi="Times New Roman" w:eastAsia="Times New Roman"/>
          <w:bCs/>
          <w:color w:val="000000"/>
          <w:sz w:val="28"/>
          <w:szCs w:val="28"/>
        </w:rPr>
        <w:t xml:space="preserve">государственного казенного учреждения Саратовской области «Центр бухгалтерского учета, отчетности и финансов» (далее - Учреждения)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 части закупо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к товаров, работ, услуг (далее -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Порядок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).</w:t>
      </w:r>
      <w:r/>
    </w:p>
    <w:p>
      <w:pPr>
        <w:pStyle w:val="838"/>
        <w:numPr>
          <w:ilvl w:val="0"/>
          <w:numId w:val="2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Нормативные затраты применяются для обоснования объекта и (или) объектов закупки министерства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Учреждений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/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Порядок определения норм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ативных затрат устанавливается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равилами определения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нормативных затрат на обеспечение функций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органов государственной власти области, иных государственных органов области, органов управления территориальными государственными внебюджетными фондами, включая соответственно территориальные органы и подведомственные им к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азенные учреждения, утвержденными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постановлением Правительства Саратовской области от 31 декабря 2015 года № 686-П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(далее -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Правила),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 части нормативных затрат, порядок определения которых не установлен Правилами, определяется приложением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bookmarkStart w:id="0" w:name="_GoBack"/>
      <w:r/>
      <w:bookmarkEnd w:id="0"/>
      <w:r>
        <w:rPr>
          <w:rFonts w:ascii="Times New Roman" w:hAnsi="Times New Roman" w:cs="Times New Roman"/>
          <w:spacing w:val="-6"/>
          <w:sz w:val="28"/>
          <w:szCs w:val="28"/>
        </w:rPr>
        <w:t xml:space="preserve">к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настоящему Порядку.</w:t>
      </w:r>
      <w:r/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Общий об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ъем затрат, связанных с приобретением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товаров, работ, услуг, рассчитанный на основе нормативных затрат, не может превышать объем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а лимитов бюджетных обязательств,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доведенных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до министерства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Учреждений,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как получателей средств областного бюджета Саратовской области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на закупку товаров, работ, услуг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на соответствующий финансовый год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.</w:t>
      </w:r>
      <w:r/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затрат 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инистерство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Учреждения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руководствую</w:t>
      </w:r>
      <w:r>
        <w:rPr>
          <w:rFonts w:ascii="Times New Roman" w:hAnsi="Times New Roman" w:cs="Times New Roman"/>
          <w:sz w:val="28"/>
          <w:szCs w:val="28"/>
        </w:rPr>
        <w:t xml:space="preserve">тся национальными стандартами, техническими регламентами, техническими условиями и иными документами, положения</w:t>
      </w:r>
      <w:r>
        <w:rPr>
          <w:rFonts w:ascii="Times New Roman" w:hAnsi="Times New Roman" w:cs="Times New Roman"/>
          <w:sz w:val="28"/>
          <w:szCs w:val="28"/>
        </w:rPr>
        <w:t xml:space="preserve">ми</w:t>
      </w:r>
      <w:r>
        <w:rPr>
          <w:rFonts w:ascii="Times New Roman" w:hAnsi="Times New Roman" w:cs="Times New Roman"/>
          <w:sz w:val="28"/>
          <w:szCs w:val="28"/>
        </w:rPr>
        <w:t xml:space="preserve"> абзаца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области от 16 июня 2009 года № 250-П «Вопросы материально-технического обеспечения отдельных лиц, замещающих государственные должности Саратовской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и должности государственной гражданской службы Саратовской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а также учитывает регулируемые цены (тарифы)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pStyle w:val="838"/>
        <w:numPr>
          <w:ilvl w:val="0"/>
          <w:numId w:val="2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цены товаров, работ, услуг определяется в соответствии со статьей 22 Федерального закона от 5 апреля 2014 года № 44-ФЗ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 контрактной системе в сфере закупок товаров, работ и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pStyle w:val="838"/>
        <w:numPr>
          <w:ilvl w:val="0"/>
          <w:numId w:val="2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49349128"/>
      <w:docPartObj>
        <w:docPartGallery w:val="Page Numbers (Top of Page)"/>
        <w:docPartUnique w:val="true"/>
      </w:docPartObj>
      <w:rPr/>
    </w:sdtPr>
    <w:sdtContent>
      <w:p>
        <w:pPr>
          <w:pStyle w:val="83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4"/>
    <w:next w:val="834"/>
    <w:link w:val="6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5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4"/>
    <w:next w:val="834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5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5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5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5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5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5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5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5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5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5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character" w:styleId="686">
    <w:name w:val="Header Char"/>
    <w:basedOn w:val="835"/>
    <w:link w:val="839"/>
    <w:uiPriority w:val="99"/>
  </w:style>
  <w:style w:type="character" w:styleId="687">
    <w:name w:val="Footer Char"/>
    <w:basedOn w:val="835"/>
    <w:link w:val="841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841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List Paragraph"/>
    <w:basedOn w:val="834"/>
    <w:uiPriority w:val="34"/>
    <w:qFormat/>
    <w:pPr>
      <w:contextualSpacing/>
      <w:ind w:left="720"/>
    </w:pPr>
  </w:style>
  <w:style w:type="paragraph" w:styleId="839">
    <w:name w:val="Header"/>
    <w:basedOn w:val="834"/>
    <w:link w:val="8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0" w:customStyle="1">
    <w:name w:val="Верхний колонтитул Знак"/>
    <w:basedOn w:val="835"/>
    <w:link w:val="839"/>
    <w:uiPriority w:val="99"/>
  </w:style>
  <w:style w:type="paragraph" w:styleId="841">
    <w:name w:val="Footer"/>
    <w:basedOn w:val="834"/>
    <w:link w:val="842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2" w:customStyle="1">
    <w:name w:val="Нижний колонтитул Знак"/>
    <w:basedOn w:val="835"/>
    <w:link w:val="841"/>
  </w:style>
  <w:style w:type="paragraph" w:styleId="843">
    <w:name w:val="Balloon Text"/>
    <w:basedOn w:val="834"/>
    <w:link w:val="84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4" w:customStyle="1">
    <w:name w:val="Текст выноски Знак"/>
    <w:basedOn w:val="835"/>
    <w:link w:val="84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3CF37-CC23-45CD-B10C-E8026C125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Гуреева</dc:creator>
  <cp:revision>11</cp:revision>
  <dcterms:created xsi:type="dcterms:W3CDTF">2021-03-25T13:42:00Z</dcterms:created>
  <dcterms:modified xsi:type="dcterms:W3CDTF">2023-05-11T12:43:19Z</dcterms:modified>
</cp:coreProperties>
</file>